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9C8F" w14:textId="7A2074EF" w:rsidR="006E537C" w:rsidRPr="00086506" w:rsidRDefault="006E537C" w:rsidP="006E537C">
      <w:pPr>
        <w:pStyle w:val="Titlu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w:t>
      </w:r>
      <w:r w:rsidR="00401055">
        <w:rPr>
          <w:rFonts w:ascii="Arial" w:eastAsia="Times New Roman" w:hAnsi="Arial" w:cs="Arial"/>
          <w:noProof/>
          <w:color w:val="333333"/>
          <w:lang w:val="ro-RO"/>
        </w:rPr>
        <w:t>7</w:t>
      </w:r>
    </w:p>
    <w:p w14:paraId="4E7A03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39F7423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5DB350B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432CE43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w:t>
      </w:r>
    </w:p>
    <w:p w14:paraId="2C3CA485"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2D804A2D"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STUDIU DE FEZABILITATE</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2DAA5B3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studiului de fezabilitate poate fi adaptat, în funcţie de specificul şi complexitatea obiectivului de investiţii propus.</w:t>
      </w:r>
    </w:p>
    <w:p w14:paraId="7B7B2A8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3F1B17B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0D69BA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2C2FEC7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4590631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4F35F72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64570A1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studiului de fezabilitate</w:t>
      </w:r>
    </w:p>
    <w:p w14:paraId="7A2B621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obiectivului/proiectului de investiţii</w:t>
      </w:r>
    </w:p>
    <w:p w14:paraId="6D5F9DC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0834611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Prezentarea contextului: politici, strategii, legislaţie, acorduri relevante, structuri instituţionale şi financiare</w:t>
      </w:r>
    </w:p>
    <w:p w14:paraId="5C7C7C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Analiza situaţiei existente şi identificarea deficienţelor</w:t>
      </w:r>
    </w:p>
    <w:p w14:paraId="2EB5A51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2.4. Analiza cererii de bunuri şi servicii, inclusiv prognoze pe termen mediu şi lung privind evoluţia cererii, în scopul justificării necesităţii obiectivului de investiţii</w:t>
      </w:r>
    </w:p>
    <w:p w14:paraId="098C3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2.5. Obiective preconizate a fi atinse prin realizarea investiţiei publice</w:t>
      </w:r>
    </w:p>
    <w:p w14:paraId="63D941A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Identificarea, propunerea şi prezentarea a minimum două scenarii/opţiuni tehnico-economice pentru realizarea obiectivului de investiţii</w:t>
      </w:r>
      <w:r w:rsidRPr="00086506">
        <w:rPr>
          <w:rFonts w:ascii="Arial" w:hAnsi="Arial" w:cs="Arial"/>
          <w:noProof/>
          <w:color w:val="333333"/>
          <w:sz w:val="21"/>
          <w:szCs w:val="21"/>
          <w:vertAlign w:val="superscript"/>
          <w:lang w:val="ro-RO"/>
        </w:rPr>
        <w:t>2)</w:t>
      </w:r>
    </w:p>
    <w:p w14:paraId="20B837D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În cazul în care anterior prezentului studiu a fost elaborat un studiu de prefezabilitate, se vor prezenta minimum două scenarii/opţiuni tehnico-economice dintre cele selectate ca fezabile la faza studiu de prefezabilitate.</w:t>
      </w:r>
    </w:p>
    <w:p w14:paraId="56426E2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Pentru fiecare scenariu/opţiune tehnico-economic(ă) se vor prezenta:</w:t>
      </w:r>
    </w:p>
    <w:p w14:paraId="4D8963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2ABFE2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1E63AEA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b) relaţii cu zone învecinate, accesuri existente şi/sau căi de acces posibile;</w:t>
      </w:r>
    </w:p>
    <w:p w14:paraId="71308F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orientări propuse faţă de punctele cardinale şi faţă de punctele de interes naturale sau construite;</w:t>
      </w:r>
    </w:p>
    <w:p w14:paraId="6EF8DA4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surse de poluare existente în zonă;</w:t>
      </w:r>
    </w:p>
    <w:p w14:paraId="5BDB64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date climatice şi particularităţi de relief;</w:t>
      </w:r>
    </w:p>
    <w:p w14:paraId="0AB1732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existenţa unor:</w:t>
      </w:r>
    </w:p>
    <w:p w14:paraId="549B44C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reţele edilitare în amplasament care ar necesita relocare/protejare, în măsura în care pot fi identificate;</w:t>
      </w:r>
    </w:p>
    <w:p w14:paraId="63AA8D8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posibile interferenţe cu monumente istorice/de arhitectură sau situri arheologice pe amplasament sau în zona imediat învecinată; existenţa condiţionărilor specifice în cazul existenţei unor zone protejate sau de protecţie;</w:t>
      </w:r>
    </w:p>
    <w:p w14:paraId="2104BBA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terenuri care aparţin unor instituţii care fac parte din sistemul de apărare, ordine publică şi siguranţă naţională;</w:t>
      </w:r>
    </w:p>
    <w:p w14:paraId="4D9FCB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caracteristici geofizice ale terenului din amplasament - extras din studiul geotehnic elaborat conform normativelor în vigoare, cuprinzând:</w:t>
      </w:r>
    </w:p>
    <w:p w14:paraId="064787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date privind zonarea seismică;</w:t>
      </w:r>
    </w:p>
    <w:p w14:paraId="01184A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date preliminare asupra naturii terenului de fundare, inclusiv presiunea convenţională şi nivelul maxim al apelor freatice;</w:t>
      </w:r>
    </w:p>
    <w:p w14:paraId="1BDE4DC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(iii) date geologice generale;</w:t>
      </w:r>
    </w:p>
    <w:p w14:paraId="3A5AE92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4CAFF11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 încadrarea în zone de risc (cutremur, alunecări de teren, inundaţii) în conformitate cu reglementările tehnice în vigoare;</w:t>
      </w:r>
    </w:p>
    <w:p w14:paraId="14C11F6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(vi) caracteristici din punct de vedere hidrologic stabilite în baza studiilor existente, a documentărilor, cu indicarea surselor de informare enunţate bibliografic.</w:t>
      </w:r>
    </w:p>
    <w:p w14:paraId="4FDE8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Descrierea din punct de vedere tehnic, constructiv, funcţional-arhitectural şi tehnologic:</w:t>
      </w:r>
    </w:p>
    <w:p w14:paraId="27A092A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caracteristici tehnice şi parametri specifici obiectivului de investiţii;</w:t>
      </w:r>
    </w:p>
    <w:p w14:paraId="562817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varianta constructivă de realizare a investiţiei, cu justificarea alegerii acesteia;</w:t>
      </w:r>
    </w:p>
    <w:p w14:paraId="5B1D07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echiparea şi dotarea specifică funcţiunii propuse.</w:t>
      </w:r>
    </w:p>
    <w:p w14:paraId="03ACA3A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Costurile estimative ale investiţiei:</w:t>
      </w:r>
    </w:p>
    <w:p w14:paraId="110E2EDC" w14:textId="54D22935" w:rsidR="006E537C" w:rsidRPr="00086506" w:rsidRDefault="006E537C" w:rsidP="006E537C">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3&amp;opt=M&amp;idRel=38939426"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3" w:history="1">
        <w:r w:rsidRPr="00086506">
          <w:rPr>
            <w:rStyle w:val="Hyperlink"/>
            <w:rFonts w:ascii="Arial" w:eastAsia="Times New Roman" w:hAnsi="Arial" w:cs="Arial"/>
            <w:noProof/>
            <w:sz w:val="21"/>
            <w:szCs w:val="21"/>
            <w:lang w:val="ro-RO"/>
          </w:rPr>
          <w:t>1116/2023</w:t>
        </w:r>
      </w:hyperlink>
    </w:p>
    <w:p w14:paraId="6828597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obiectivului de investiţii, estimate pe baza preţurilor existente pe piaţă la momentul elaborării/revizuirii/actualizării studiului de fezabilitate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6EFCA5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viaţă/de amortizare a investiţiei publice.</w:t>
      </w:r>
    </w:p>
    <w:p w14:paraId="6D637B8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Studii de specialitate, în funcţie de categoria şi clasa de importanţă a construcţiilor, după caz:</w:t>
      </w:r>
    </w:p>
    <w:p w14:paraId="1C879D2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 studiu topografic;</w:t>
      </w:r>
    </w:p>
    <w:p w14:paraId="19A58FC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geotehnic şi/sau studii de analiză şi de stabilitate a terenului;</w:t>
      </w:r>
    </w:p>
    <w:p w14:paraId="7F8A9E1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hidrologic, hidrogeologic;</w:t>
      </w:r>
    </w:p>
    <w:p w14:paraId="03E094E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posibilitatea utilizării unor sisteme alternative de eficienţă ridicată pentru creşterea performanţei energetice;</w:t>
      </w:r>
    </w:p>
    <w:p w14:paraId="59BE32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de trafic şi studiu de circulaţie;</w:t>
      </w:r>
    </w:p>
    <w:p w14:paraId="70A6E9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raport de diagnostic arheologic preliminar în vederea exproprierii, pentru obiectivele de investiţii ale căror amplasamente urmează a fi expropriate pentru cauză de utilitate publică;</w:t>
      </w:r>
    </w:p>
    <w:p w14:paraId="4E4B36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peisagistic în cazul obiectivelor de investiţii care se referă la amenajări spaţii verzi şi peisajere;</w:t>
      </w:r>
    </w:p>
    <w:p w14:paraId="3664F26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valoarea resursei culturale;</w:t>
      </w:r>
    </w:p>
    <w:p w14:paraId="59B3376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studii de specialitate necesare în funcţie de specificul investiţiei.</w:t>
      </w:r>
    </w:p>
    <w:p w14:paraId="4B620F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Grafice orientative de realizare a investiţiei</w:t>
      </w:r>
    </w:p>
    <w:p w14:paraId="0BF24B2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Analiza fiecărui/fiecărei scenariu/opţiuni tehnico- economic(e) propus(e)</w:t>
      </w:r>
    </w:p>
    <w:p w14:paraId="693AD2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4.1. Prezentarea cadrului de analiză, inclusiv specificarea perioadei de referinţă şi prezentarea scenariului de referinţă</w:t>
      </w:r>
    </w:p>
    <w:p w14:paraId="10A626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4.2. Analiza vulnerabilităţilor cauzate de factori de risc, antropici şi naturali, inclusiv de schimbări climatice, ce pot afecta investiţia</w:t>
      </w:r>
    </w:p>
    <w:p w14:paraId="511B788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4.3. Situaţia utilităţilor şi analiza de consum:</w:t>
      </w:r>
    </w:p>
    <w:p w14:paraId="25ECE29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necesarul de utilităţi şi de relocare/protejare, după caz;</w:t>
      </w:r>
    </w:p>
    <w:p w14:paraId="0BBC754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soluţii pentru asigurarea utilităţilor necesare.</w:t>
      </w:r>
    </w:p>
    <w:p w14:paraId="57EBB2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4.4. Sustenabilitatea realizării obiectivului de investiţii:</w:t>
      </w:r>
    </w:p>
    <w:p w14:paraId="0829020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 egalitatea de şanse;</w:t>
      </w:r>
    </w:p>
    <w:p w14:paraId="284069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A13268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5BBAC8B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impactul obiectivului de investiţie raportat la contextul natural şi antropic în care acesta se integrează, după caz.</w:t>
      </w:r>
    </w:p>
    <w:p w14:paraId="27B1DD2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4.5. Analiza cererii de bunuri şi servicii, care justifică dimensionarea obiectivului de investiţii</w:t>
      </w:r>
    </w:p>
    <w:p w14:paraId="6D7D28F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4.6. Analiza financiară, inclusiv calcularea indicatorilor de performanţă financiară: fluxul cumulat, valoarea actualizată netă, rata internă de rentabilitate; sustenabilitatea financiară</w:t>
      </w:r>
    </w:p>
    <w:p w14:paraId="759A17E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4.7. Analiza economică</w:t>
      </w: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inclusiv calcularea indicatorilor de performanţă economică: valoarea actualizată netă, rata internă de rentabilitate şi raportul cost-beneficiu sau, după caz, analiza cost-eficacitate</w:t>
      </w:r>
    </w:p>
    <w:p w14:paraId="3393AFF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4.8. Analiza de senzitivitate</w:t>
      </w:r>
      <w:r w:rsidRPr="00086506">
        <w:rPr>
          <w:rFonts w:ascii="Arial" w:hAnsi="Arial" w:cs="Arial"/>
          <w:noProof/>
          <w:color w:val="333333"/>
          <w:sz w:val="21"/>
          <w:szCs w:val="21"/>
          <w:vertAlign w:val="superscript"/>
          <w:lang w:val="ro-RO"/>
        </w:rPr>
        <w:t>3)</w:t>
      </w:r>
    </w:p>
    <w:p w14:paraId="43D36A3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Prin excepţie de la prevederile pct. 4.7 şi 4.8, în cazul obiectivelor de investiţii a căror valoare totală estimată nu depăşeşte pragul pentru care documentaţia tehnico-economică se aprobă prin hotărâre a Guvernului, potrivit prevederilor Legii </w:t>
      </w:r>
      <w:hyperlink r:id="rId6" w:tgtFrame="_blank" w:history="1">
        <w:r w:rsidRPr="00086506">
          <w:rPr>
            <w:rStyle w:val="Hyperlink"/>
            <w:rFonts w:ascii="Arial" w:hAnsi="Arial" w:cs="Arial"/>
            <w:noProof/>
            <w:sz w:val="21"/>
            <w:szCs w:val="21"/>
            <w:lang w:val="ro-RO"/>
          </w:rPr>
          <w:t>nr. 500/2002</w:t>
        </w:r>
      </w:hyperlink>
      <w:r w:rsidRPr="00086506">
        <w:rPr>
          <w:rFonts w:ascii="Arial" w:hAnsi="Arial" w:cs="Arial"/>
          <w:noProof/>
          <w:color w:val="333333"/>
          <w:sz w:val="21"/>
          <w:szCs w:val="21"/>
          <w:lang w:val="ro-RO"/>
        </w:rPr>
        <w:t xml:space="preserve"> privind finanţele publice, cu modificările şi completările ulterioare, se elaborează analiza cost-eficacitate.</w:t>
      </w:r>
    </w:p>
    <w:p w14:paraId="209F33C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4.9. Analiza de riscuri, măsuri de prevenire/diminuare a riscurilor</w:t>
      </w:r>
    </w:p>
    <w:p w14:paraId="1692F5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 Scenariul/Opţiunea tehnico-economic(ă) optim(ă), recomandat(ă)</w:t>
      </w:r>
    </w:p>
    <w:p w14:paraId="1ED562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Comparaţia scenariilor/opţiunilor propuse, din punct de vedere tehnic, economic, financiar, al sustenabilităţii şi riscurilor</w:t>
      </w:r>
    </w:p>
    <w:p w14:paraId="7B201D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Selectarea şi justificarea scenariului/opţiunii optim(e) recomandat(e)</w:t>
      </w:r>
    </w:p>
    <w:p w14:paraId="1A1438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Descrierea scenariului/opţiunii optim(e) recomandat(e) privind:</w:t>
      </w:r>
    </w:p>
    <w:p w14:paraId="14C5A9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obţinerea si amenajarea terenului;</w:t>
      </w:r>
    </w:p>
    <w:p w14:paraId="7DFCEAE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asigurarea utilităţilor necesare funcţionării obiectivului;</w:t>
      </w:r>
    </w:p>
    <w:p w14:paraId="6ACC8A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43E5FC8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probe tehnologice şi teste.</w:t>
      </w:r>
    </w:p>
    <w:p w14:paraId="691513D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Principalii indicatori tehnico-economici aferenţi obiectivului de investiţii:</w:t>
      </w:r>
    </w:p>
    <w:p w14:paraId="68A8032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obiectului de investiţii, exprimată în lei, cu TVA şi, respectiv, fără TVA, din care construcţii-montaj (C+M), în conformitate cu devizul general;</w:t>
      </w:r>
    </w:p>
    <w:p w14:paraId="108E421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C8A526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218848C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045C00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5.5. Prezentarea modului în care se asigură conformarea cu reglementările specifice funcţiunii preconizate din punctul de vedere al asigurării tuturor cerinţelor fundamentale aplicabile construcţiei, conform gradului de detaliere al propunerilor tehnice</w:t>
      </w:r>
    </w:p>
    <w:p w14:paraId="5884BB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771EDCA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Urbanism, acorduri şi avize conforme</w:t>
      </w:r>
    </w:p>
    <w:p w14:paraId="760443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Certificatul de urbanism emis în vederea obţinerii autorizaţiei de construire</w:t>
      </w:r>
    </w:p>
    <w:p w14:paraId="1C8CDC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Extras de carte funciară, cu excepţia cazurilor speciale, expres prevăzute de lege</w:t>
      </w:r>
    </w:p>
    <w:p w14:paraId="62EF57E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Actul administrativ al autorităţii competente pentru protecţia mediului, măsuri de diminuare a impactului, măsuri de compensare, modalitatea de integrare a prevederilor acordului de mediu în documentaţia tehnico-economică</w:t>
      </w:r>
    </w:p>
    <w:p w14:paraId="130CB4A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Avize conforme privind asigurarea utilităţilor</w:t>
      </w:r>
    </w:p>
    <w:p w14:paraId="697C36A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Studiu topografic, vizat de către Oficiul de Cadastru şi Publicitate Imobiliară</w:t>
      </w:r>
    </w:p>
    <w:p w14:paraId="5D4A5EE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6.6. Avize, acorduri şi studii specifice, după caz, în funcţie de specificul obiectivului de investiţii şi care pot condiţiona soluţiile tehnice</w:t>
      </w:r>
    </w:p>
    <w:p w14:paraId="09282F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Implementarea investiţiei</w:t>
      </w:r>
    </w:p>
    <w:p w14:paraId="65B5B17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Informaţii despre entitatea responsabilă cu implementarea investiţiei</w:t>
      </w:r>
    </w:p>
    <w:p w14:paraId="066693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7.2. Strategia de implementare, cuprinzând: durata de implementare a obiectivului de investiţii (în luni calendaristice), durata de execuţie, graficul de implementare a investiţiei, eşalonarea investiţiei pe ani, resurse necesare</w:t>
      </w:r>
    </w:p>
    <w:p w14:paraId="28328A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Strategia de exploatare/operare şi întreţinere: etape, metode şi resurse necesare</w:t>
      </w:r>
    </w:p>
    <w:p w14:paraId="360A4C2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Recomandări privind asigurarea capacităţii manageriale şi instituţionale</w:t>
      </w:r>
    </w:p>
    <w:p w14:paraId="4418118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8. Concluzii şi recomandări</w:t>
      </w:r>
    </w:p>
    <w:p w14:paraId="6A65BCC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5C0778A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25AD7E0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plan de amplasare în zonă;</w:t>
      </w:r>
    </w:p>
    <w:p w14:paraId="0BC7E18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plan de situaţie;</w:t>
      </w:r>
    </w:p>
    <w:p w14:paraId="0E24BB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planuri generale, faţade şi secţiuni caracteristice de arhitectură cotate, scheme de principiu pentru rezistenţă şi instalaţii, volumetrii, scheme funcţionale, izometrice sau planuri specifice, după caz;</w:t>
      </w:r>
    </w:p>
    <w:p w14:paraId="323489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planuri generale, profile longitudinale şi transversale caracteristice, cotate, planuri specifice, după caz.</w:t>
      </w:r>
    </w:p>
    <w:p w14:paraId="249714A1"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52FF1CD5"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320" w:type="dxa"/>
        <w:jc w:val="center"/>
        <w:tblCellMar>
          <w:top w:w="15" w:type="dxa"/>
          <w:left w:w="15" w:type="dxa"/>
          <w:bottom w:w="15" w:type="dxa"/>
          <w:right w:w="15" w:type="dxa"/>
        </w:tblCellMar>
        <w:tblLook w:val="04A0" w:firstRow="1" w:lastRow="0" w:firstColumn="1" w:lastColumn="0" w:noHBand="0" w:noVBand="1"/>
      </w:tblPr>
      <w:tblGrid>
        <w:gridCol w:w="6"/>
        <w:gridCol w:w="869"/>
        <w:gridCol w:w="3445"/>
      </w:tblGrid>
      <w:tr w:rsidR="006E537C" w:rsidRPr="00086506" w14:paraId="5671EF55" w14:textId="77777777" w:rsidTr="002C4446">
        <w:trPr>
          <w:trHeight w:val="15"/>
          <w:jc w:val="center"/>
        </w:trPr>
        <w:tc>
          <w:tcPr>
            <w:tcW w:w="0" w:type="auto"/>
            <w:tcMar>
              <w:top w:w="0" w:type="dxa"/>
              <w:left w:w="0" w:type="dxa"/>
              <w:bottom w:w="0" w:type="dxa"/>
              <w:right w:w="0" w:type="dxa"/>
            </w:tcMar>
            <w:hideMark/>
          </w:tcPr>
          <w:p w14:paraId="20020800" w14:textId="77777777" w:rsidR="006E537C" w:rsidRPr="00086506" w:rsidRDefault="006E537C"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08F99BB4" w14:textId="77777777" w:rsidR="006E537C" w:rsidRPr="00086506" w:rsidRDefault="006E537C" w:rsidP="002C4446">
            <w:pPr>
              <w:spacing w:line="345" w:lineRule="atLeast"/>
              <w:rPr>
                <w:rFonts w:eastAsia="Times New Roman"/>
                <w:noProof/>
                <w:sz w:val="20"/>
                <w:szCs w:val="20"/>
                <w:lang w:val="ro-RO"/>
              </w:rPr>
            </w:pPr>
          </w:p>
        </w:tc>
        <w:tc>
          <w:tcPr>
            <w:tcW w:w="0" w:type="auto"/>
            <w:hideMark/>
          </w:tcPr>
          <w:p w14:paraId="6AD7089A" w14:textId="77777777" w:rsidR="006E537C" w:rsidRPr="00086506" w:rsidRDefault="006E537C" w:rsidP="002C4446">
            <w:pPr>
              <w:spacing w:line="345" w:lineRule="atLeast"/>
              <w:rPr>
                <w:rFonts w:eastAsia="Times New Roman"/>
                <w:noProof/>
                <w:sz w:val="20"/>
                <w:szCs w:val="20"/>
                <w:lang w:val="ro-RO"/>
              </w:rPr>
            </w:pPr>
          </w:p>
        </w:tc>
      </w:tr>
      <w:tr w:rsidR="006E537C" w:rsidRPr="00086506" w14:paraId="4A2C575D" w14:textId="77777777" w:rsidTr="002C4446">
        <w:trPr>
          <w:trHeight w:val="1200"/>
          <w:jc w:val="center"/>
        </w:trPr>
        <w:tc>
          <w:tcPr>
            <w:tcW w:w="0" w:type="auto"/>
            <w:tcMar>
              <w:top w:w="0" w:type="dxa"/>
              <w:left w:w="0" w:type="dxa"/>
              <w:bottom w:w="0" w:type="dxa"/>
              <w:right w:w="0" w:type="dxa"/>
            </w:tcMar>
            <w:hideMark/>
          </w:tcPr>
          <w:p w14:paraId="6BF78597" w14:textId="77777777" w:rsidR="006E537C" w:rsidRPr="00086506" w:rsidRDefault="006E537C" w:rsidP="002C4446">
            <w:pPr>
              <w:spacing w:line="345" w:lineRule="atLeast"/>
              <w:rPr>
                <w:rFonts w:eastAsia="Times New Roman"/>
                <w:noProof/>
                <w:sz w:val="20"/>
                <w:szCs w:val="20"/>
                <w:lang w:val="ro-RO"/>
              </w:rPr>
            </w:pPr>
          </w:p>
        </w:tc>
        <w:tc>
          <w:tcPr>
            <w:tcW w:w="0" w:type="auto"/>
            <w:tcBorders>
              <w:top w:val="nil"/>
              <w:left w:val="nil"/>
              <w:bottom w:val="nil"/>
              <w:right w:val="nil"/>
            </w:tcBorders>
            <w:hideMark/>
          </w:tcPr>
          <w:p w14:paraId="11CCD969"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hideMark/>
          </w:tcPr>
          <w:p w14:paraId="7ABD45D1"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4)</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123EDFCF" w14:textId="22206F1E" w:rsidR="00431CDA" w:rsidRDefault="006E537C">
      <w:r w:rsidRPr="00086506">
        <w:rPr>
          <w:rFonts w:ascii="Arial" w:hAnsi="Arial" w:cs="Arial"/>
          <w:noProof/>
          <w:color w:val="333333"/>
          <w:sz w:val="21"/>
          <w:szCs w:val="21"/>
          <w:vertAlign w:val="superscript"/>
          <w:lang w:val="ro-RO"/>
        </w:rPr>
        <w:t>4)</w:t>
      </w:r>
      <w:r w:rsidRPr="00086506">
        <w:rPr>
          <w:rFonts w:ascii="Arial" w:hAnsi="Arial" w:cs="Arial"/>
          <w:noProof/>
          <w:color w:val="333333"/>
          <w:sz w:val="21"/>
          <w:szCs w:val="21"/>
          <w:lang w:val="ro-RO"/>
        </w:rPr>
        <w:t xml:space="preserve"> Studiul de fezabilitate va avea prevăzută, ca pagină de capăt, pagina de semnături, prin care elaboratorul acestuia îşi însuşeşte şi asumă datele şi soluţiile propuse, şi care va conţine cel puţin următoarele date: nr. . ./dată contract, numele şi prenumele în clar ale proiectanţilor pe specialităţi, ale persoanei responsabile de proiect - şef de proiect/director de proiect, inclusiv semnăturile acestora şi ştampila.</w:t>
      </w:r>
    </w:p>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C"/>
    <w:rsid w:val="000044AB"/>
    <w:rsid w:val="00080AEE"/>
    <w:rsid w:val="00401055"/>
    <w:rsid w:val="0040695A"/>
    <w:rsid w:val="00431CDA"/>
    <w:rsid w:val="00593D4A"/>
    <w:rsid w:val="005A67F9"/>
    <w:rsid w:val="006E537C"/>
    <w:rsid w:val="00810E66"/>
    <w:rsid w:val="009C074D"/>
    <w:rsid w:val="00A47610"/>
    <w:rsid w:val="00AE554D"/>
    <w:rsid w:val="00D071DD"/>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7E2"/>
  <w15:chartTrackingRefBased/>
  <w15:docId w15:val="{F04B0759-FBCF-455B-AD6F-ADCC3A2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7C"/>
    <w:pPr>
      <w:spacing w:line="278" w:lineRule="auto"/>
    </w:pPr>
    <w:rPr>
      <w:rFonts w:eastAsiaTheme="minorEastAsia"/>
      <w:sz w:val="24"/>
      <w:szCs w:val="24"/>
      <w:lang w:eastAsia="en-GB"/>
    </w:rPr>
  </w:style>
  <w:style w:type="paragraph" w:styleId="Titlu1">
    <w:name w:val="heading 1"/>
    <w:basedOn w:val="Normal"/>
    <w:next w:val="Normal"/>
    <w:link w:val="Titlu1Caracter"/>
    <w:uiPriority w:val="9"/>
    <w:qFormat/>
    <w:rsid w:val="006E53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lu2">
    <w:name w:val="heading 2"/>
    <w:basedOn w:val="Normal"/>
    <w:next w:val="Normal"/>
    <w:link w:val="Titlu2Caracter"/>
    <w:uiPriority w:val="9"/>
    <w:semiHidden/>
    <w:unhideWhenUsed/>
    <w:qFormat/>
    <w:rsid w:val="006E53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lu3">
    <w:name w:val="heading 3"/>
    <w:basedOn w:val="Normal"/>
    <w:next w:val="Normal"/>
    <w:link w:val="Titlu3Caracter"/>
    <w:uiPriority w:val="9"/>
    <w:semiHidden/>
    <w:unhideWhenUsed/>
    <w:qFormat/>
    <w:rsid w:val="006E537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Titlu4">
    <w:name w:val="heading 4"/>
    <w:basedOn w:val="Normal"/>
    <w:next w:val="Normal"/>
    <w:link w:val="Titlu4Caracter"/>
    <w:uiPriority w:val="9"/>
    <w:unhideWhenUsed/>
    <w:qFormat/>
    <w:rsid w:val="006E537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Titlu5">
    <w:name w:val="heading 5"/>
    <w:basedOn w:val="Normal"/>
    <w:next w:val="Normal"/>
    <w:link w:val="Titlu5Caracter"/>
    <w:uiPriority w:val="9"/>
    <w:semiHidden/>
    <w:unhideWhenUsed/>
    <w:qFormat/>
    <w:rsid w:val="006E537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Titlu6">
    <w:name w:val="heading 6"/>
    <w:basedOn w:val="Normal"/>
    <w:next w:val="Normal"/>
    <w:link w:val="Titlu6Caracter"/>
    <w:uiPriority w:val="9"/>
    <w:semiHidden/>
    <w:unhideWhenUsed/>
    <w:qFormat/>
    <w:rsid w:val="006E537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Titlu7">
    <w:name w:val="heading 7"/>
    <w:basedOn w:val="Normal"/>
    <w:next w:val="Normal"/>
    <w:link w:val="Titlu7Caracter"/>
    <w:uiPriority w:val="9"/>
    <w:semiHidden/>
    <w:unhideWhenUsed/>
    <w:qFormat/>
    <w:rsid w:val="006E537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Titlu8">
    <w:name w:val="heading 8"/>
    <w:basedOn w:val="Normal"/>
    <w:next w:val="Normal"/>
    <w:link w:val="Titlu8Caracter"/>
    <w:uiPriority w:val="9"/>
    <w:semiHidden/>
    <w:unhideWhenUsed/>
    <w:qFormat/>
    <w:rsid w:val="006E537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Titlu9">
    <w:name w:val="heading 9"/>
    <w:basedOn w:val="Normal"/>
    <w:next w:val="Normal"/>
    <w:link w:val="Titlu9Caracter"/>
    <w:uiPriority w:val="9"/>
    <w:semiHidden/>
    <w:unhideWhenUsed/>
    <w:qFormat/>
    <w:rsid w:val="006E537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E537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E537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E537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6E537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E537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E537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E537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E537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E537C"/>
    <w:rPr>
      <w:rFonts w:eastAsiaTheme="majorEastAsia" w:cstheme="majorBidi"/>
      <w:color w:val="272727" w:themeColor="text1" w:themeTint="D8"/>
    </w:rPr>
  </w:style>
  <w:style w:type="paragraph" w:styleId="Titlu">
    <w:name w:val="Title"/>
    <w:basedOn w:val="Normal"/>
    <w:next w:val="Normal"/>
    <w:link w:val="TitluCaracter"/>
    <w:uiPriority w:val="10"/>
    <w:qFormat/>
    <w:rsid w:val="006E537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uCaracter">
    <w:name w:val="Titlu Caracter"/>
    <w:basedOn w:val="Fontdeparagrafimplicit"/>
    <w:link w:val="Titlu"/>
    <w:uiPriority w:val="10"/>
    <w:rsid w:val="006E537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E537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6E537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E537C"/>
    <w:pPr>
      <w:spacing w:before="160" w:line="259" w:lineRule="auto"/>
      <w:jc w:val="center"/>
    </w:pPr>
    <w:rPr>
      <w:rFonts w:eastAsiaTheme="minorHAnsi"/>
      <w:i/>
      <w:iCs/>
      <w:color w:val="404040" w:themeColor="text1" w:themeTint="BF"/>
      <w:sz w:val="22"/>
      <w:szCs w:val="22"/>
      <w:lang w:eastAsia="en-US"/>
    </w:rPr>
  </w:style>
  <w:style w:type="character" w:customStyle="1" w:styleId="CitatCaracter">
    <w:name w:val="Citat Caracter"/>
    <w:basedOn w:val="Fontdeparagrafimplicit"/>
    <w:link w:val="Citat"/>
    <w:uiPriority w:val="29"/>
    <w:rsid w:val="006E537C"/>
    <w:rPr>
      <w:i/>
      <w:iCs/>
      <w:color w:val="404040" w:themeColor="text1" w:themeTint="BF"/>
    </w:rPr>
  </w:style>
  <w:style w:type="paragraph" w:styleId="Listparagraf">
    <w:name w:val="List Paragraph"/>
    <w:basedOn w:val="Normal"/>
    <w:uiPriority w:val="34"/>
    <w:qFormat/>
    <w:rsid w:val="006E537C"/>
    <w:pPr>
      <w:spacing w:line="259" w:lineRule="auto"/>
      <w:ind w:left="720"/>
      <w:contextualSpacing/>
    </w:pPr>
    <w:rPr>
      <w:rFonts w:eastAsiaTheme="minorHAnsi"/>
      <w:sz w:val="22"/>
      <w:szCs w:val="22"/>
      <w:lang w:eastAsia="en-US"/>
    </w:rPr>
  </w:style>
  <w:style w:type="character" w:styleId="Accentuareintens">
    <w:name w:val="Intense Emphasis"/>
    <w:basedOn w:val="Fontdeparagrafimplicit"/>
    <w:uiPriority w:val="21"/>
    <w:qFormat/>
    <w:rsid w:val="006E537C"/>
    <w:rPr>
      <w:i/>
      <w:iCs/>
      <w:color w:val="2F5496" w:themeColor="accent1" w:themeShade="BF"/>
    </w:rPr>
  </w:style>
  <w:style w:type="paragraph" w:styleId="Citatintens">
    <w:name w:val="Intense Quote"/>
    <w:basedOn w:val="Normal"/>
    <w:next w:val="Normal"/>
    <w:link w:val="CitatintensCaracter"/>
    <w:uiPriority w:val="30"/>
    <w:qFormat/>
    <w:rsid w:val="006E53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itatintensCaracter">
    <w:name w:val="Citat intens Caracter"/>
    <w:basedOn w:val="Fontdeparagrafimplicit"/>
    <w:link w:val="Citatintens"/>
    <w:uiPriority w:val="30"/>
    <w:rsid w:val="006E537C"/>
    <w:rPr>
      <w:i/>
      <w:iCs/>
      <w:color w:val="2F5496" w:themeColor="accent1" w:themeShade="BF"/>
    </w:rPr>
  </w:style>
  <w:style w:type="character" w:styleId="Referireintens">
    <w:name w:val="Intense Reference"/>
    <w:basedOn w:val="Fontdeparagrafimplicit"/>
    <w:uiPriority w:val="32"/>
    <w:qFormat/>
    <w:rsid w:val="006E537C"/>
    <w:rPr>
      <w:b/>
      <w:bCs/>
      <w:smallCaps/>
      <w:color w:val="2F5496" w:themeColor="accent1" w:themeShade="BF"/>
      <w:spacing w:val="5"/>
    </w:rPr>
  </w:style>
  <w:style w:type="character" w:styleId="Hyperlink">
    <w:name w:val="Hyperlink"/>
    <w:basedOn w:val="Fontdeparagrafimplicit"/>
    <w:uiPriority w:val="99"/>
    <w:semiHidden/>
    <w:unhideWhenUsed/>
    <w:rsid w:val="006E537C"/>
    <w:rPr>
      <w:color w:val="0000FF"/>
      <w:u w:val="single"/>
    </w:rPr>
  </w:style>
  <w:style w:type="paragraph" w:customStyle="1" w:styleId="al">
    <w:name w:val="a_l"/>
    <w:basedOn w:val="Normal"/>
    <w:rsid w:val="006E537C"/>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snjzgu/legea-nr-500-2002-privind-finantele-publice?d=2025-08-05" TargetMode="External"/><Relationship Id="rId5" Type="http://schemas.openxmlformats.org/officeDocument/2006/relationships/hyperlink" Target="file:///C:\Users\SMART\Downloads\ge2demrzgizdo\act%3fpid=545762473&amp;d=23-11-2023" TargetMode="External"/><Relationship Id="rId4" Type="http://schemas.openxmlformats.org/officeDocument/2006/relationships/hyperlink" Target="file:///C:\Users\SMART\Downloads\ge2demrzgizdo\act%3fpid=545762473&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10642</Characters>
  <Application>Microsoft Office Word</Application>
  <DocSecurity>0</DocSecurity>
  <Lines>88</Lines>
  <Paragraphs>24</Paragraphs>
  <ScaleCrop>false</ScaleCrop>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Mihai</cp:lastModifiedBy>
  <cp:revision>2</cp:revision>
  <dcterms:created xsi:type="dcterms:W3CDTF">2025-10-20T09:55:00Z</dcterms:created>
  <dcterms:modified xsi:type="dcterms:W3CDTF">2025-10-20T09:55:00Z</dcterms:modified>
</cp:coreProperties>
</file>